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EEDBF" w14:textId="033888AD" w:rsidR="006833DB" w:rsidRPr="006833DB" w:rsidRDefault="006833DB" w:rsidP="00AD7654">
      <w:pPr>
        <w:rPr>
          <w:rFonts w:ascii="Arial" w:hAnsi="Arial" w:cs="Arial"/>
          <w:b/>
          <w:bCs/>
          <w:sz w:val="20"/>
          <w:szCs w:val="20"/>
        </w:rPr>
      </w:pPr>
      <w:r w:rsidRPr="006833DB">
        <w:rPr>
          <w:rFonts w:ascii="Arial" w:hAnsi="Arial" w:cs="Arial"/>
          <w:b/>
          <w:bCs/>
          <w:sz w:val="20"/>
          <w:szCs w:val="20"/>
        </w:rPr>
        <w:t>Environmental risk assessment required in notifications concerning releases of genetically modified higher plants (GMHPs) according to the Royal Decree of 21 February 2005</w:t>
      </w:r>
      <w:r w:rsidR="00393CA8">
        <w:rPr>
          <w:rFonts w:ascii="Arial" w:hAnsi="Arial" w:cs="Arial"/>
          <w:b/>
          <w:bCs/>
          <w:sz w:val="20"/>
          <w:szCs w:val="20"/>
        </w:rPr>
        <w:t xml:space="preserve"> </w:t>
      </w:r>
      <w:r w:rsidR="00393CA8" w:rsidRPr="00393CA8">
        <w:rPr>
          <w:rFonts w:ascii="Arial" w:hAnsi="Arial" w:cs="Arial"/>
          <w:b/>
          <w:bCs/>
          <w:sz w:val="20"/>
          <w:szCs w:val="20"/>
        </w:rPr>
        <w:t>(modified 19 February 2020 and 27 May 2021)</w:t>
      </w:r>
    </w:p>
    <w:p w14:paraId="1174E307" w14:textId="77777777" w:rsidR="006833DB" w:rsidRPr="006833DB" w:rsidRDefault="006833DB" w:rsidP="00AD7654">
      <w:pPr>
        <w:rPr>
          <w:rFonts w:ascii="Arial" w:hAnsi="Arial" w:cs="Arial"/>
          <w:sz w:val="20"/>
          <w:szCs w:val="20"/>
        </w:rPr>
      </w:pPr>
    </w:p>
    <w:p w14:paraId="00BABB7B" w14:textId="4BD3A52F" w:rsidR="00AD7654" w:rsidRPr="006833DB" w:rsidRDefault="00AD7654" w:rsidP="00AD7654">
      <w:pPr>
        <w:rPr>
          <w:rFonts w:ascii="Arial" w:hAnsi="Arial" w:cs="Arial"/>
          <w:sz w:val="20"/>
          <w:szCs w:val="20"/>
        </w:rPr>
      </w:pPr>
      <w:r w:rsidRPr="006833DB">
        <w:rPr>
          <w:rFonts w:ascii="Arial" w:hAnsi="Arial" w:cs="Arial"/>
          <w:sz w:val="20"/>
          <w:szCs w:val="20"/>
        </w:rPr>
        <w:t>1. Persistence and invasiveness of the GMHP, including plant to plant gene transfer</w:t>
      </w:r>
    </w:p>
    <w:p w14:paraId="4A410D3E" w14:textId="7A8D571D" w:rsidR="00AD7654" w:rsidRPr="006833DB" w:rsidRDefault="00AD7654" w:rsidP="00AD7654">
      <w:pPr>
        <w:rPr>
          <w:rFonts w:ascii="Arial" w:hAnsi="Arial" w:cs="Arial"/>
          <w:sz w:val="20"/>
          <w:szCs w:val="20"/>
        </w:rPr>
      </w:pPr>
      <w:r w:rsidRPr="006833DB">
        <w:rPr>
          <w:rFonts w:ascii="Arial" w:hAnsi="Arial" w:cs="Arial"/>
          <w:sz w:val="20"/>
          <w:szCs w:val="20"/>
        </w:rPr>
        <w:t>2. Plant to micro-organisms gene transfer</w:t>
      </w:r>
    </w:p>
    <w:p w14:paraId="1555FDC2" w14:textId="1B53DC23" w:rsidR="00AD7654" w:rsidRPr="006833DB" w:rsidRDefault="00AD7654" w:rsidP="00AD7654">
      <w:pPr>
        <w:rPr>
          <w:rFonts w:ascii="Arial" w:hAnsi="Arial" w:cs="Arial"/>
          <w:sz w:val="20"/>
          <w:szCs w:val="20"/>
        </w:rPr>
      </w:pPr>
      <w:r w:rsidRPr="006833DB">
        <w:rPr>
          <w:rFonts w:ascii="Arial" w:hAnsi="Arial" w:cs="Arial"/>
          <w:sz w:val="20"/>
          <w:szCs w:val="20"/>
        </w:rPr>
        <w:t>3. Interactions of the GMHP with target organisms</w:t>
      </w:r>
    </w:p>
    <w:p w14:paraId="4C79EF0F" w14:textId="7B30F411" w:rsidR="00AD7654" w:rsidRPr="006833DB" w:rsidRDefault="00AD7654" w:rsidP="00AD7654">
      <w:pPr>
        <w:rPr>
          <w:rFonts w:ascii="Arial" w:hAnsi="Arial" w:cs="Arial"/>
          <w:sz w:val="20"/>
          <w:szCs w:val="20"/>
        </w:rPr>
      </w:pPr>
      <w:r w:rsidRPr="006833DB">
        <w:rPr>
          <w:rFonts w:ascii="Arial" w:hAnsi="Arial" w:cs="Arial"/>
          <w:sz w:val="20"/>
          <w:szCs w:val="20"/>
        </w:rPr>
        <w:t>4. Interactions of the GMHP with non-target organisms</w:t>
      </w:r>
    </w:p>
    <w:p w14:paraId="2575C31F" w14:textId="201029B6" w:rsidR="00AD7654" w:rsidRPr="006833DB" w:rsidRDefault="00AD7654" w:rsidP="00AD7654">
      <w:pPr>
        <w:rPr>
          <w:rFonts w:ascii="Arial" w:hAnsi="Arial" w:cs="Arial"/>
          <w:sz w:val="20"/>
          <w:szCs w:val="20"/>
        </w:rPr>
      </w:pPr>
      <w:r w:rsidRPr="006833DB">
        <w:rPr>
          <w:rFonts w:ascii="Arial" w:hAnsi="Arial" w:cs="Arial"/>
          <w:sz w:val="20"/>
          <w:szCs w:val="20"/>
        </w:rPr>
        <w:t>5. Impacts of the specific cultivation, management and harvesting techniques</w:t>
      </w:r>
    </w:p>
    <w:p w14:paraId="03C439E6" w14:textId="271CF692" w:rsidR="00AD7654" w:rsidRPr="006833DB" w:rsidRDefault="00AD7654" w:rsidP="00AD7654">
      <w:pPr>
        <w:rPr>
          <w:rFonts w:ascii="Arial" w:hAnsi="Arial" w:cs="Arial"/>
          <w:sz w:val="20"/>
          <w:szCs w:val="20"/>
        </w:rPr>
      </w:pPr>
      <w:r w:rsidRPr="006833DB">
        <w:rPr>
          <w:rFonts w:ascii="Arial" w:hAnsi="Arial" w:cs="Arial"/>
          <w:sz w:val="20"/>
          <w:szCs w:val="20"/>
        </w:rPr>
        <w:t>6. Effects on biogeochemical processes</w:t>
      </w:r>
    </w:p>
    <w:p w14:paraId="55E4A9E9" w14:textId="776CB147" w:rsidR="00267859" w:rsidRPr="006833DB" w:rsidRDefault="00AD7654" w:rsidP="00AD7654">
      <w:pPr>
        <w:rPr>
          <w:rFonts w:ascii="Arial" w:hAnsi="Arial" w:cs="Arial"/>
          <w:sz w:val="20"/>
          <w:szCs w:val="20"/>
        </w:rPr>
      </w:pPr>
      <w:r w:rsidRPr="006833DB">
        <w:rPr>
          <w:rFonts w:ascii="Arial" w:hAnsi="Arial" w:cs="Arial"/>
          <w:sz w:val="20"/>
          <w:szCs w:val="20"/>
        </w:rPr>
        <w:t>7. Effects on human and animal health</w:t>
      </w:r>
    </w:p>
    <w:sectPr w:rsidR="00267859" w:rsidRPr="006833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54"/>
    <w:rsid w:val="00167501"/>
    <w:rsid w:val="00267859"/>
    <w:rsid w:val="00393CA8"/>
    <w:rsid w:val="003A4014"/>
    <w:rsid w:val="006833DB"/>
    <w:rsid w:val="008C0987"/>
    <w:rsid w:val="00AD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2570"/>
  <w15:chartTrackingRefBased/>
  <w15:docId w15:val="{3CAAF0DE-E456-465E-86C8-C01B5EE7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10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12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61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6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04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76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08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509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Coppens</dc:creator>
  <cp:keywords/>
  <dc:description/>
  <cp:lastModifiedBy>Fanny Coppens</cp:lastModifiedBy>
  <cp:revision>4</cp:revision>
  <dcterms:created xsi:type="dcterms:W3CDTF">2025-01-30T13:17:00Z</dcterms:created>
  <dcterms:modified xsi:type="dcterms:W3CDTF">2025-02-04T12:34:00Z</dcterms:modified>
</cp:coreProperties>
</file>